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BB" w:rsidRPr="00AD39E0" w:rsidRDefault="009624BB" w:rsidP="0096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 іноземної філології</w:t>
      </w: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німецької та романської філології</w:t>
      </w: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4EF7" w:rsidRDefault="008C4EF7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4EF7" w:rsidRDefault="008C4EF7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4EF7" w:rsidRPr="00AD39E0" w:rsidRDefault="008C4EF7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9624BB" w:rsidRDefault="008C4EF7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9624BB"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исципліни</w:t>
      </w:r>
    </w:p>
    <w:p w:rsidR="008C4EF7" w:rsidRPr="00AD39E0" w:rsidRDefault="008C4EF7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0546" w:rsidRPr="004B0546" w:rsidRDefault="004B0546" w:rsidP="004B0546">
      <w:pPr>
        <w:widowControl w:val="0"/>
        <w:autoSpaceDE w:val="0"/>
        <w:autoSpaceDN w:val="0"/>
        <w:adjustRightInd w:val="0"/>
        <w:spacing w:after="0" w:line="48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 Франції</w:t>
      </w:r>
    </w:p>
    <w:p w:rsidR="009624BB" w:rsidRPr="00AD39E0" w:rsidRDefault="004B0546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24BB"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(Окремі розділи)</w:t>
      </w:r>
    </w:p>
    <w:p w:rsidR="009624BB" w:rsidRPr="00AD39E0" w:rsidRDefault="009624BB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Pr="00AD39E0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Ступінь вищої освіти        бакалавр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AD3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Галузь знань </w:t>
      </w:r>
      <w:r w:rsidRPr="00AD3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Освіта/Педагогіка</w:t>
      </w:r>
    </w:p>
    <w:p w:rsidR="009624BB" w:rsidRPr="00AD39E0" w:rsidRDefault="009624BB" w:rsidP="0096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Спеціальність                     014.02 Середня освіта (Мова і література 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французька) 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624BB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Pr="008C4EF7" w:rsidRDefault="008C4EF7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p w:rsidR="009624BB" w:rsidRPr="00AD39E0" w:rsidRDefault="009624BB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</w:t>
      </w:r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spellStart"/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</w:p>
    <w:p w:rsidR="009624BB" w:rsidRPr="00AD39E0" w:rsidRDefault="009624BB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AD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AD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лекційних занять</w:t>
      </w: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9624BB" w:rsidRPr="00AD39E0" w:rsidRDefault="009624BB" w:rsidP="00962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0" w:name="_MON_1615450572"/>
      <w:bookmarkEnd w:id="0"/>
      <w:r w:rsidRPr="00AD39E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Плани лекційних занять</w:t>
      </w:r>
    </w:p>
    <w:p w:rsidR="009624BB" w:rsidRPr="00AD39E0" w:rsidRDefault="009624BB" w:rsidP="009624B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4BB" w:rsidRPr="00AD39E0" w:rsidRDefault="009624BB" w:rsidP="0096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Лекційний модуль навчальної дисципліни </w:t>
      </w:r>
    </w:p>
    <w:p w:rsidR="009624BB" w:rsidRPr="00AD39E0" w:rsidRDefault="009624BB" w:rsidP="009624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B0546" w:rsidRPr="004B0546" w:rsidRDefault="004B0546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1. Французька література від Середньовіччя до 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романтизму</w:t>
      </w:r>
      <w:r w:rsidRPr="004B05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B0546" w:rsidRPr="004B0546" w:rsidRDefault="004B0546" w:rsidP="004B05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раннього та пізнього Середньовіччя. </w:t>
      </w:r>
    </w:p>
    <w:p w:rsidR="004B0546" w:rsidRPr="004B0546" w:rsidRDefault="004B0546" w:rsidP="004B05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епохи Відродження та  раннього Класицизму </w:t>
      </w:r>
    </w:p>
    <w:p w:rsidR="004B0546" w:rsidRPr="004B0546" w:rsidRDefault="004B0546" w:rsidP="004B05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великої епохи Класицизму та доби Просвітництва</w:t>
      </w:r>
    </w:p>
    <w:p w:rsidR="004B0546" w:rsidRPr="00AD39E0" w:rsidRDefault="004B0546" w:rsidP="004B05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Епоха романтизму у французькій літературі ХІХ століття. </w:t>
      </w:r>
    </w:p>
    <w:p w:rsidR="004B0546" w:rsidRPr="00AD39E0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4B0546" w:rsidRDefault="004B0546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Змістовий модуль 2. Французька література ХІХ-ХХ століть</w:t>
      </w:r>
    </w:p>
    <w:p w:rsidR="004B0546" w:rsidRPr="004B0546" w:rsidRDefault="004B0546" w:rsidP="004B05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Реалізм та натуралізм у французькій літературі ХІХ століття </w:t>
      </w:r>
    </w:p>
    <w:p w:rsidR="004B0546" w:rsidRPr="004B0546" w:rsidRDefault="004B0546" w:rsidP="004B05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Символізм у французькій літературі ХІХ століття. </w:t>
      </w:r>
    </w:p>
    <w:p w:rsidR="004B0546" w:rsidRPr="004B0546" w:rsidRDefault="004B0546" w:rsidP="004B05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Французька література на межі ХІХ-ХХ століть  </w:t>
      </w:r>
    </w:p>
    <w:p w:rsidR="004B0546" w:rsidRPr="004B0546" w:rsidRDefault="004B0546" w:rsidP="004B05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Французька література міжвоєнного та післявоєнного </w:t>
      </w:r>
    </w:p>
    <w:p w:rsidR="004B0546" w:rsidRDefault="004B0546" w:rsidP="004B05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Французька література ХХ століття</w:t>
      </w:r>
    </w:p>
    <w:p w:rsidR="008C4EF7" w:rsidRDefault="008C4EF7" w:rsidP="008C4E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8C4E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Default="008C4EF7" w:rsidP="008C4E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EF7" w:rsidRPr="004B0546" w:rsidRDefault="008C4EF7" w:rsidP="008C4E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AD39E0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AD39E0" w:rsidRDefault="004B0546" w:rsidP="004B054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Методичні рекомендації до проведення</w:t>
      </w:r>
    </w:p>
    <w:p w:rsidR="004B0546" w:rsidRPr="00AD39E0" w:rsidRDefault="004B0546" w:rsidP="004B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практичних занять</w:t>
      </w:r>
    </w:p>
    <w:p w:rsidR="004B0546" w:rsidRPr="00AD39E0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4B0546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4B0546" w:rsidRDefault="004B0546" w:rsidP="004B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05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Практичний модуль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раннього та пізнього Середньовіччя.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епохи Відродження та  раннього Класицизму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Французька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 великої епохи Класицизму та доби Просвітництва.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Епоха романтизму. Реалізм та натуралізм у французькій літературі ХІХ століття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Символізм у французькій літературі ХІХ століття. Французька література на межі ХІХ-ХХ століть 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Французька література міжвоєнного та післявоєнного періоду </w:t>
      </w:r>
    </w:p>
    <w:p w:rsidR="004B0546" w:rsidRPr="00AD39E0" w:rsidRDefault="004B0546" w:rsidP="004B054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Французька література ХХ століття. </w:t>
      </w:r>
    </w:p>
    <w:p w:rsidR="004B0546" w:rsidRPr="00AD39E0" w:rsidRDefault="004B0546" w:rsidP="004B0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9E0" w:rsidRPr="00AD39E0" w:rsidRDefault="00AD39E0" w:rsidP="00AD39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D39E0" w:rsidRPr="00AD39E0" w:rsidRDefault="00AD39E0" w:rsidP="00AD39E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Дидактичне забезпечення </w:t>
      </w:r>
    </w:p>
    <w:p w:rsidR="00AD39E0" w:rsidRPr="00AD39E0" w:rsidRDefault="00AD39E0" w:rsidP="00AD39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AD39E0" w:rsidRPr="00AD39E0" w:rsidRDefault="00AD39E0" w:rsidP="00AD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AD39E0" w:rsidRPr="00AD39E0" w:rsidRDefault="00AD39E0" w:rsidP="00AD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AD39E0" w:rsidRPr="00AD39E0" w:rsidRDefault="00AD39E0" w:rsidP="00AD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AD39E0" w:rsidRPr="00AD39E0" w:rsidRDefault="00AD39E0" w:rsidP="00AD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Зміст визначається робочою навчальною програмою, методичними матеріалами, завданнями та вказівками викладача. </w:t>
      </w:r>
    </w:p>
    <w:p w:rsidR="00AD39E0" w:rsidRPr="00AD39E0" w:rsidRDefault="00AD39E0" w:rsidP="00AD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AD39E0" w:rsidRPr="00AD39E0" w:rsidRDefault="00AD39E0" w:rsidP="00AD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AD39E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AD39E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AD39E0" w:rsidRPr="00AD39E0" w:rsidRDefault="00AD39E0" w:rsidP="00AD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9E0" w:rsidRPr="00AD39E0" w:rsidRDefault="00AD39E0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AD39E0" w:rsidRPr="00AD39E0" w:rsidRDefault="00AD39E0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D39E0" w:rsidRPr="00AD39E0" w:rsidRDefault="00AD39E0" w:rsidP="00AD3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теоретичного матеріалу з тем дисципліни.</w:t>
      </w:r>
    </w:p>
    <w:p w:rsidR="00AD39E0" w:rsidRPr="004B0546" w:rsidRDefault="008C4EF7" w:rsidP="00AD39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Читання </w:t>
      </w:r>
      <w:bookmarkStart w:id="1" w:name="_GoBack"/>
      <w:bookmarkEnd w:id="1"/>
      <w:r w:rsidR="00AD39E0" w:rsidRPr="004B05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творів видатних письменників Франції.</w:t>
      </w:r>
    </w:p>
    <w:p w:rsidR="00AD39E0" w:rsidRPr="004B0546" w:rsidRDefault="00AD39E0" w:rsidP="00AD39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фрагментів художніх творів.</w:t>
      </w:r>
    </w:p>
    <w:p w:rsidR="00AD39E0" w:rsidRPr="004B0546" w:rsidRDefault="00AD39E0" w:rsidP="00AD39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напам’ять віршів. </w:t>
      </w:r>
    </w:p>
    <w:p w:rsidR="00AD39E0" w:rsidRPr="00AD39E0" w:rsidRDefault="00AD39E0" w:rsidP="00AD39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AD39E0" w:rsidRDefault="004B0546" w:rsidP="004B0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6" w:rsidRPr="004B0546" w:rsidRDefault="00AD39E0" w:rsidP="004B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9E0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знань, умінь та навичок студентів з дисципліни</w:t>
      </w:r>
    </w:p>
    <w:p w:rsidR="004B0546" w:rsidRPr="004B0546" w:rsidRDefault="004B0546" w:rsidP="004B054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B0546" w:rsidRPr="00AD39E0" w:rsidRDefault="00AD39E0" w:rsidP="00AD39E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8C4E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Екзамен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AD39E0" w:rsidRPr="00AD39E0" w:rsidRDefault="00AD39E0" w:rsidP="00AD39E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39E0" w:rsidRPr="00AD39E0" w:rsidRDefault="00AD39E0" w:rsidP="00AD39E0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досягнення здобувачів ступеня вищої освіти «бакалавр» із дисципліни оцінюються з використанням європейської системи трансферу та накопичення кредитів ЄКТС.</w:t>
      </w:r>
    </w:p>
    <w:p w:rsidR="00AD39E0" w:rsidRPr="00AD39E0" w:rsidRDefault="00AD39E0" w:rsidP="00AD39E0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AD39E0" w:rsidRPr="00AD39E0" w:rsidTr="00817E4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за шкалою </w:t>
            </w:r>
            <w:r w:rsidRPr="00AD3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AD39E0" w:rsidRPr="00AD39E0" w:rsidTr="00817E4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AD39E0" w:rsidRPr="00AD39E0" w:rsidTr="00817E4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AD39E0" w:rsidRPr="00AD39E0" w:rsidTr="00817E4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9E0" w:rsidRPr="00AD39E0" w:rsidTr="00817E4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AD39E0" w:rsidRPr="00AD39E0" w:rsidTr="00817E4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9E0" w:rsidRPr="00AD39E0" w:rsidTr="00817E4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AD39E0" w:rsidRPr="00AD39E0" w:rsidTr="00817E4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0" w:rsidRPr="00AD39E0" w:rsidRDefault="00AD39E0" w:rsidP="00AD3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AD39E0" w:rsidRPr="00AD39E0" w:rsidRDefault="00AD39E0" w:rsidP="00AD39E0">
      <w:pPr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39E0" w:rsidRPr="00AD39E0" w:rsidRDefault="00AD39E0" w:rsidP="00AD39E0">
      <w:pPr>
        <w:tabs>
          <w:tab w:val="left" w:pos="-52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оцінювання якості знань студентів:</w:t>
      </w:r>
      <w:r w:rsidRP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AD39E0" w:rsidRPr="004B0546" w:rsidRDefault="00AD39E0" w:rsidP="004B05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0546" w:rsidRPr="004B0546" w:rsidRDefault="004B0546" w:rsidP="004B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626"/>
      </w:tblGrid>
      <w:tr w:rsidR="004B0546" w:rsidRPr="008C4EF7" w:rsidTr="00817E4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Відмінно </w:t>
            </w:r>
          </w:p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(90-100 балів)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має глибокі системні знання з усього курсу, знає мету та завдання навчальної дисципліни, вільно володіє термінологією, висловлюється з тем, передбачених програмою, вміє висловити власне ставлення щодо проблемних питань курсу, ілюструвати теоретичні положення літературними прикладами, робити літературознавчий аналіз тексту, визначаючи його основну ідею, сюжетно-композиційні особливості, засоби створення художнього образу тощо знаходити та доцільно використовувати додатковий матеріал при виконанні самостійної роботи.</w:t>
            </w:r>
          </w:p>
        </w:tc>
      </w:tr>
      <w:tr w:rsidR="004B0546" w:rsidRPr="008C4EF7" w:rsidTr="00817E4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Добре </w:t>
            </w:r>
          </w:p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(74-89 балів)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має ґрунтовні знання з курсу, знає мету та завдання навчальної дисципліни, висловлюється з тем, передбачених програмою, вільно володіє термінологією, має власну точку зору до тих чи інших питань, вміє виконувати практичну роботу з курсу, але при цьому не виявляє самостійності у залученні додаткового матеріалу, допускає незначні помилки в усному та писемному мовленні.</w:t>
            </w:r>
          </w:p>
        </w:tc>
      </w:tr>
      <w:tr w:rsidR="004B0546" w:rsidRPr="004B0546" w:rsidTr="00817E4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Задовільно </w:t>
            </w:r>
          </w:p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(60-73 балів)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знає основні теми, в цілому володіє матеріалом курсу, але має прогалини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здобутих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знаннях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 практичних вміннях, не завжди вміє навести відповідні приклади до теоретичного матеріалу, допускає помилки в усному та писемному мовленні. </w:t>
            </w:r>
          </w:p>
        </w:tc>
      </w:tr>
      <w:tr w:rsidR="004B0546" w:rsidRPr="004B0546" w:rsidTr="00817E4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Незадовільно (35-59 балів)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фрагментарні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курсу. Не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невиразна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бідна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студента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обмежене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оскільки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запас  не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змог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сформулювати</w:t>
            </w:r>
            <w:proofErr w:type="spellEnd"/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думку.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Практичні навички на рівні розпізнання. 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може дати чіткого визначення терміну або навести відповідні приклади, робить значні помилки у писемному та усному мовленні.</w:t>
            </w:r>
          </w:p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0546" w:rsidRPr="004B0546" w:rsidTr="00817E4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Незадовільно</w:t>
            </w:r>
          </w:p>
          <w:p w:rsidR="004B0546" w:rsidRPr="004B0546" w:rsidRDefault="004B0546" w:rsidP="004B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(1-34 балів)</w:t>
            </w: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4B0546" w:rsidRDefault="004B0546" w:rsidP="004B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05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не знає програмного матеріалу, не працював в аудиторії з викладачем або самостійно</w:t>
            </w:r>
          </w:p>
        </w:tc>
      </w:tr>
    </w:tbl>
    <w:p w:rsidR="004B0546" w:rsidRPr="004B0546" w:rsidRDefault="004B0546" w:rsidP="004B0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9E0" w:rsidRPr="004B0546" w:rsidRDefault="00AD39E0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AD39E0" w:rsidRPr="004B0546" w:rsidRDefault="00AD39E0" w:rsidP="00AD39E0">
      <w:pPr>
        <w:spacing w:line="240" w:lineRule="auto"/>
        <w:ind w:left="1470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AD3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  <w:proofErr w:type="spellEnd"/>
      <w:r w:rsidRPr="004B054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питань</w:t>
      </w:r>
      <w:proofErr w:type="spellEnd"/>
      <w:r w:rsidRPr="004B054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екзамену</w:t>
      </w:r>
      <w:proofErr w:type="spellEnd"/>
      <w:r w:rsidRPr="004B054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: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Formation de la langue française. Les premiers textes en français.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chansons de geste.</w:t>
      </w:r>
      <w:r w:rsidRPr="004B0546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Chanson de Roland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François Villon, poète du Moyen Age.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François Rablais et son oeuvre.   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Pierre Ronsard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Pierre Corneille, son oeuvre </w:t>
      </w:r>
      <w:r w:rsidRPr="004B0546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Cid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doctrine classique.  J.-B.Molière et ses comédies.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L’art des fables. La Fontaine.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4B0546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L'Encyclopédie.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Siècle des Lumières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Beaumarchais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son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oeuvre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H.de Balzac et sa  </w:t>
      </w:r>
      <w:r w:rsidRPr="004B0546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Comédie humaine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V.Hugo et ses chefs-d'oeuvre.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P.Mérimée et son oeuvre.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 réalisme. G.Flaubert et son oeuvre.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G.de Maupassant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 naturalisme. E.Zola et  </w:t>
      </w:r>
      <w:r w:rsidRPr="004B0546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les Rougon-Macquart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 symbolisme. Ch.Beaudelaire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P.Verlaine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A.France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R.Rolland et ses romans-fleuves.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G.Apollinaire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A.de S.Exupéry et son oeuvre.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Paul Eluard,  particularités de sa poésie. 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L.Aragon, romancier et poète.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André Maurois et son 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F. Sagan, la vie et l’oeuvre.</w:t>
      </w:r>
    </w:p>
    <w:p w:rsidR="00AD39E0" w:rsidRPr="004B0546" w:rsidRDefault="00AD39E0" w:rsidP="00AD39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J.Prévert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poésie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9E0" w:rsidRPr="004B0546" w:rsidRDefault="00AD39E0" w:rsidP="00A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AD39E0" w:rsidRPr="004B0546" w:rsidRDefault="00AD39E0" w:rsidP="00AD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0546" w:rsidRPr="004B0546" w:rsidRDefault="004B0546" w:rsidP="004B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0546" w:rsidRPr="004B0546" w:rsidRDefault="004B0546" w:rsidP="004B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0546" w:rsidRPr="004B0546" w:rsidRDefault="00AD39E0" w:rsidP="004B054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D39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6.</w:t>
      </w:r>
      <w:r w:rsidR="004B0546" w:rsidRPr="004B05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Рекомендована література</w:t>
      </w:r>
    </w:p>
    <w:p w:rsidR="004B0546" w:rsidRPr="004B0546" w:rsidRDefault="004B0546" w:rsidP="004B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B0546" w:rsidRPr="004B0546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Основна література </w:t>
      </w:r>
    </w:p>
    <w:p w:rsidR="004B0546" w:rsidRPr="004B0546" w:rsidRDefault="004B0546" w:rsidP="004B05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анції</w:t>
      </w:r>
      <w:proofErr w:type="spellEnd"/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Херсон: Айлант, 2008. </w:t>
      </w:r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 с.</w:t>
      </w:r>
    </w:p>
    <w:p w:rsidR="004B0546" w:rsidRPr="004B0546" w:rsidRDefault="004B0546" w:rsidP="004B05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</w:t>
      </w:r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курсу «</w:t>
      </w:r>
      <w:proofErr w:type="spellStart"/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Франції</w:t>
      </w:r>
      <w:proofErr w:type="spellEnd"/>
      <w:r w:rsidR="00AD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Херсон: Айлант, 2008. </w:t>
      </w:r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с.</w:t>
      </w:r>
    </w:p>
    <w:p w:rsidR="004B0546" w:rsidRPr="004B0546" w:rsidRDefault="004B0546" w:rsidP="004B05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runel P. Histoire de la littérature française. Tome I. Du Moyen Age au </w:t>
      </w:r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 siècle. Paris, Sorbonne : Bordas, 1992.</w:t>
      </w:r>
    </w:p>
    <w:p w:rsidR="004B0546" w:rsidRPr="00AD39E0" w:rsidRDefault="004B0546" w:rsidP="004B05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runel P. Histoire de la littérature française. Tome II. </w:t>
      </w:r>
      <w:proofErr w:type="gramStart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IXe XXe siècles. Paris, Sorbonne : Bordas, 1995.</w:t>
      </w:r>
    </w:p>
    <w:p w:rsidR="00AD39E0" w:rsidRPr="004B0546" w:rsidRDefault="00AD39E0" w:rsidP="00AD39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4B0546" w:rsidRPr="004B0546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Додаткова література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Introduction à la vie littéraire du Moyen Age, par P.-Y. Badel. Paris, Sorbonne : Bordas, 1991.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Introduction à la vie littéraire du XVIe siècle, par D. Ménager. Paris, Sorbonne : Bordas, 1992.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Introduction à la vie littéraire du XVIIe siècle, par J.-C. Tournand. Paris, Sorbonne : Bordas, 1993.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Introduction à la vie littéraire du XVIIIe siècle, par M. Launay. Paris, Sorbonne : Bordas, 1994.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Introduction à la vie littéraire du XIXe siècle, par J.-Y. Tadié. Paris, Sorbonne : Bordas, 1995.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Introduction au surréalisme, par C. Abastado. Paris, Sorbonne : Bordas, 1995.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racines du naturalisme, par J.-C. Lapp. Paris, Sorbonne : Bordas, 1996.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Littérature française. Les mouvements littéraires. Les écrivains et leurs œuvres. Salomon P. Paris, Bordas, 1998.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Aragon, par B. Lecherbonnier.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ab/>
        <w:t>Paris, Sorbonne : Bordas, 1998.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Beckett, par G. Durozoi.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ab/>
        <w:t>Paris, Sorbonne : Bordas, 1998.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Boris Vian, par J. Bens. Paris, Sorbonne : Bordas, 1999.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Camus, par P. Gaillard. Paris, Sorbonne : Bordas, 1997.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ab/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Claudel, par A. Blanc. Paris, Sorbonne : Bordas, 1997.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Ionesco, par C. Abastado. Paris, Sorbonne : Bordas, 1998.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Mauriac, par A. Seailles. Paris, Sorbonne : Bordas, 1999.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ab/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Valeurs actuelles du téâtre classique, par P. Ginestier. Paris, Bordas, 1997.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Артамонов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С.Д.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зарубежной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>ы Х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ІІ-</w:t>
      </w:r>
      <w:r w:rsidRPr="004B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ин-тов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спец.№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2101. М.,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1978.</w:t>
      </w:r>
    </w:p>
    <w:p w:rsidR="004B0546" w:rsidRPr="004B0546" w:rsidRDefault="004B0546" w:rsidP="004B054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Штейн А.Л. и др.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французской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литературы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пед.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ин-тов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спец.№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2103. М.,  </w:t>
      </w:r>
      <w:proofErr w:type="spellStart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1988.</w:t>
      </w:r>
    </w:p>
    <w:p w:rsidR="004B0546" w:rsidRPr="004B0546" w:rsidRDefault="004B0546" w:rsidP="004B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INTERNET </w:t>
      </w:r>
      <w:r w:rsidRPr="004B0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 ресурси</w:t>
      </w:r>
    </w:p>
    <w:p w:rsidR="004B0546" w:rsidRPr="004B0546" w:rsidRDefault="008C4EF7" w:rsidP="004B0546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4B0546" w:rsidRPr="00AD3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www</w:t>
        </w:r>
        <w:r w:rsidR="004B0546" w:rsidRPr="00AD3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="004B0546" w:rsidRPr="00AD3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ksu</w:t>
        </w:r>
        <w:r w:rsidR="004B0546" w:rsidRPr="00AD3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/</w:t>
        </w:r>
      </w:hyperlink>
      <w:r w:rsidR="004B0546"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0546"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</w:t>
      </w:r>
    </w:p>
    <w:p w:rsidR="004B0546" w:rsidRPr="004B0546" w:rsidRDefault="004B0546" w:rsidP="004B0546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www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nbu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gov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ua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portal</w:t>
      </w:r>
    </w:p>
    <w:p w:rsidR="004B0546" w:rsidRPr="004B0546" w:rsidRDefault="004B0546" w:rsidP="00AD39E0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library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krasu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B054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</w:t>
      </w:r>
      <w:r w:rsidR="00AD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0546" w:rsidRPr="004B0546" w:rsidRDefault="004B0546" w:rsidP="004B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28D" w:rsidRPr="00AD39E0" w:rsidRDefault="00C0428D">
      <w:pPr>
        <w:rPr>
          <w:rFonts w:ascii="Times New Roman" w:hAnsi="Times New Roman" w:cs="Times New Roman"/>
          <w:sz w:val="28"/>
          <w:szCs w:val="28"/>
        </w:rPr>
      </w:pPr>
    </w:p>
    <w:sectPr w:rsidR="00C0428D" w:rsidRPr="00AD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124"/>
    <w:multiLevelType w:val="hybridMultilevel"/>
    <w:tmpl w:val="2C9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FAF"/>
    <w:multiLevelType w:val="hybridMultilevel"/>
    <w:tmpl w:val="214A8468"/>
    <w:lvl w:ilvl="0" w:tplc="E132F0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6D7590"/>
    <w:multiLevelType w:val="hybridMultilevel"/>
    <w:tmpl w:val="D60ABA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E33128"/>
    <w:multiLevelType w:val="hybridMultilevel"/>
    <w:tmpl w:val="4D54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1975"/>
    <w:multiLevelType w:val="hybridMultilevel"/>
    <w:tmpl w:val="085ACA02"/>
    <w:lvl w:ilvl="0" w:tplc="DD78C7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57E"/>
    <w:multiLevelType w:val="hybridMultilevel"/>
    <w:tmpl w:val="04EE5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93A26"/>
    <w:multiLevelType w:val="hybridMultilevel"/>
    <w:tmpl w:val="A0185BAA"/>
    <w:lvl w:ilvl="0" w:tplc="C0F8A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A07EBF"/>
    <w:multiLevelType w:val="hybridMultilevel"/>
    <w:tmpl w:val="5F48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259F6"/>
    <w:multiLevelType w:val="hybridMultilevel"/>
    <w:tmpl w:val="D58ABF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53E72A3"/>
    <w:multiLevelType w:val="hybridMultilevel"/>
    <w:tmpl w:val="A188496C"/>
    <w:lvl w:ilvl="0" w:tplc="FBF0E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041441"/>
    <w:multiLevelType w:val="hybridMultilevel"/>
    <w:tmpl w:val="17E4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155FC"/>
    <w:multiLevelType w:val="hybridMultilevel"/>
    <w:tmpl w:val="D138C9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2645B79"/>
    <w:multiLevelType w:val="hybridMultilevel"/>
    <w:tmpl w:val="D308817A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66D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35DC7"/>
    <w:multiLevelType w:val="hybridMultilevel"/>
    <w:tmpl w:val="D2D24AFE"/>
    <w:lvl w:ilvl="0" w:tplc="21F2BF76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8DB2C85"/>
    <w:multiLevelType w:val="hybridMultilevel"/>
    <w:tmpl w:val="368AC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7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BB"/>
    <w:rsid w:val="004B0546"/>
    <w:rsid w:val="008C4EF7"/>
    <w:rsid w:val="009624BB"/>
    <w:rsid w:val="00AD39E0"/>
    <w:rsid w:val="00C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2020-03-04T19:53:00Z</dcterms:created>
  <dcterms:modified xsi:type="dcterms:W3CDTF">2020-03-05T05:33:00Z</dcterms:modified>
</cp:coreProperties>
</file>